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ED" w:rsidRPr="00436407" w:rsidRDefault="00285AED" w:rsidP="00285AED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436407">
        <w:rPr>
          <w:rFonts w:ascii="Times New Roman" w:hAnsi="Times New Roman" w:cs="Times New Roman"/>
        </w:rPr>
        <w:t>Паспорт</w:t>
      </w:r>
    </w:p>
    <w:p w:rsidR="00285AED" w:rsidRPr="00436407" w:rsidRDefault="00285AED" w:rsidP="00285AED">
      <w:pPr>
        <w:pStyle w:val="ConsPlusTitle"/>
        <w:jc w:val="center"/>
        <w:rPr>
          <w:rFonts w:ascii="Times New Roman" w:hAnsi="Times New Roman" w:cs="Times New Roman"/>
        </w:rPr>
      </w:pPr>
      <w:r w:rsidRPr="00436407">
        <w:rPr>
          <w:rFonts w:ascii="Times New Roman" w:hAnsi="Times New Roman" w:cs="Times New Roman"/>
        </w:rPr>
        <w:t>государственной программы Ханты-Мансийского автономного</w:t>
      </w:r>
    </w:p>
    <w:p w:rsidR="00285AED" w:rsidRPr="00436407" w:rsidRDefault="00285AED" w:rsidP="00285AED">
      <w:pPr>
        <w:pStyle w:val="ConsPlusTitle"/>
        <w:jc w:val="center"/>
        <w:rPr>
          <w:rFonts w:ascii="Times New Roman" w:hAnsi="Times New Roman" w:cs="Times New Roman"/>
        </w:rPr>
      </w:pPr>
      <w:r w:rsidRPr="00436407">
        <w:rPr>
          <w:rFonts w:ascii="Times New Roman" w:hAnsi="Times New Roman" w:cs="Times New Roman"/>
        </w:rPr>
        <w:t>округа - Югры "Современная транспортная система"</w:t>
      </w:r>
    </w:p>
    <w:p w:rsidR="00285AED" w:rsidRPr="00436407" w:rsidRDefault="00285AED" w:rsidP="00285AED">
      <w:pPr>
        <w:pStyle w:val="ConsPlusTitle"/>
        <w:jc w:val="center"/>
        <w:rPr>
          <w:rFonts w:ascii="Times New Roman" w:hAnsi="Times New Roman" w:cs="Times New Roman"/>
        </w:rPr>
      </w:pPr>
      <w:r w:rsidRPr="00436407">
        <w:rPr>
          <w:rFonts w:ascii="Times New Roman" w:hAnsi="Times New Roman" w:cs="Times New Roman"/>
        </w:rPr>
        <w:t>(далее - государственная программа)</w:t>
      </w:r>
    </w:p>
    <w:p w:rsidR="00285AED" w:rsidRDefault="00285AED" w:rsidP="00285AED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7088"/>
      </w:tblGrid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t>Наименование государственной программы</w:t>
            </w:r>
          </w:p>
        </w:tc>
        <w:tc>
          <w:tcPr>
            <w:tcW w:w="7088" w:type="dxa"/>
          </w:tcPr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Современная транспортная система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088" w:type="dxa"/>
          </w:tcPr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Постановление Правительства Ханты-Мансийского автономного округа - Югры от 5 октября 2018 года N 354-п "О государственной программе Ханты-Мансийского автономного округа - Югры "Современная транспортная система"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t>Ответственный исполнитель государственной программы</w:t>
            </w:r>
          </w:p>
        </w:tc>
        <w:tc>
          <w:tcPr>
            <w:tcW w:w="7088" w:type="dxa"/>
          </w:tcPr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Департамент дорожного хозяйства и транспорта Ханты-Мансийского автономного округа - Югры (далее - Депдорхоз и транспорта Югры)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t>Соисполнители государственной программы</w:t>
            </w:r>
          </w:p>
        </w:tc>
        <w:tc>
          <w:tcPr>
            <w:tcW w:w="7088" w:type="dxa"/>
          </w:tcPr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Департамент строительства Ханты-Мансийского автономного округа - Югры (далее - Депстрой Югры);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 (далее - Гостехнадзор Югры)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t>Цели государственной программы</w:t>
            </w:r>
          </w:p>
        </w:tc>
        <w:tc>
          <w:tcPr>
            <w:tcW w:w="7088" w:type="dxa"/>
          </w:tcPr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1. Развитие современной транспортной инфраструктуры, обеспечивающей повышение доступности и безопасности услуг транспортного комплекса для населения Ханты-Мансийского автономного округа - Югры.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2. Обеспечение безопасной эксплуатации тракторов, самоходных машин, других видов техники, аттракционов.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3. Повышение уровня безопасности и качества автомобильных дорог общего пользования регионального и межмуниципального значения, а также местного значения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t>Задачи государственной программы</w:t>
            </w:r>
          </w:p>
        </w:tc>
        <w:tc>
          <w:tcPr>
            <w:tcW w:w="7088" w:type="dxa"/>
          </w:tcPr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1. Эффективная реализация единой государственной политики в сфере транспортного обслуживания населения и дорожной деятельности, в том числе применение инновационных продукций композитной отрасли.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2. Обеспечение потребности в перевозках пассажиров в межмуниципальном сообщении автомобильным, воздушным, водным транспортом, в пригородном сообщении железнодорожным транспортом, обновление и модернизация объектов транспортной инфраструктуры.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3. Развитие и сохранность сети автомобильных дорог регионального или межмуниципального значения, а также автомобильных дорог местного значения.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 xml:space="preserve">4. Обеспечение безопасности жизни, здоровья и имущества людей, </w:t>
            </w:r>
            <w:r w:rsidRPr="00436407">
              <w:lastRenderedPageBreak/>
              <w:t>охраны окружающей среды при эксплуатации тракторов, самоходных дорожно-строительных машин, аттракционов и других видов техники.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5. Создание условий для обеспечения безопасности дорожного движения.</w:t>
            </w:r>
          </w:p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6. Расширение использования газомоторного топлива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lastRenderedPageBreak/>
              <w:t>Подпрограммы</w:t>
            </w:r>
          </w:p>
        </w:tc>
        <w:tc>
          <w:tcPr>
            <w:tcW w:w="7088" w:type="dxa"/>
          </w:tcPr>
          <w:p w:rsidR="00285AED" w:rsidRPr="00436407" w:rsidRDefault="00A9691F" w:rsidP="003A6505">
            <w:pPr>
              <w:pStyle w:val="ConsPlusNormal"/>
              <w:jc w:val="both"/>
            </w:pPr>
            <w:hyperlink w:anchor="Par495" w:tooltip="Подпрограмма I &quot;Обеспечение деятельности органов государственной власти в сфере транспортного обслуживания населения и дорожного хозяйства&quot;" w:history="1">
              <w:r w:rsidR="00285AED" w:rsidRPr="00436407">
                <w:t>Подпрограмма I</w:t>
              </w:r>
            </w:hyperlink>
            <w:r w:rsidR="00285AED" w:rsidRPr="00436407">
              <w:t xml:space="preserve"> "Обеспечение деятельности органов государственной власти в сфере транспортного обслуживания населения и дорожного хозяйства".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541" w:tooltip="Подпрограмма II &quot;Автомобильный транспорт&quot;" w:history="1">
              <w:r w:rsidR="00285AED" w:rsidRPr="00436407">
                <w:t>Подпрограмма II</w:t>
              </w:r>
            </w:hyperlink>
            <w:r w:rsidR="00285AED" w:rsidRPr="00436407">
              <w:t xml:space="preserve"> "Автомобильный транспорт".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600" w:tooltip="Подпрограмма III &quot;Гражданская авиация&quot;" w:history="1">
              <w:r w:rsidR="00285AED" w:rsidRPr="00436407">
                <w:t>Подпрограмма III</w:t>
              </w:r>
            </w:hyperlink>
            <w:r w:rsidR="00285AED" w:rsidRPr="00436407">
              <w:t xml:space="preserve"> "Гражданская авиация".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718" w:tooltip="Подпрограмма IV &quot;Водный транспорт&quot;" w:history="1">
              <w:r w:rsidR="00285AED" w:rsidRPr="00436407">
                <w:t>Подпрограмма IV</w:t>
              </w:r>
            </w:hyperlink>
            <w:r w:rsidR="00285AED" w:rsidRPr="00436407">
              <w:t xml:space="preserve"> "Водный транспорт".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874" w:tooltip="Подпрограмма V &quot;Железнодорожный транспорт&quot;" w:history="1">
              <w:r w:rsidR="00285AED" w:rsidRPr="00436407">
                <w:t>Подпрограмма V</w:t>
              </w:r>
            </w:hyperlink>
            <w:r w:rsidR="00285AED" w:rsidRPr="00436407">
              <w:t xml:space="preserve"> "Железнодорожный транспорт".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1065" w:tooltip="Подпрограмма VI &quot;Дорожное хозяйство&quot;" w:history="1">
              <w:r w:rsidR="00285AED" w:rsidRPr="00436407">
                <w:t>Подпрограмма VI</w:t>
              </w:r>
            </w:hyperlink>
            <w:r w:rsidR="00285AED" w:rsidRPr="00436407">
              <w:t xml:space="preserve"> "Дорожное хозяйство".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3016" w:tooltip="Подпрограмма VII &quot;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" w:history="1">
              <w:r w:rsidR="00285AED" w:rsidRPr="00436407">
                <w:t>Подпрограмма VII</w:t>
              </w:r>
            </w:hyperlink>
            <w:r w:rsidR="00285AED" w:rsidRPr="00436407">
              <w:t xml:space="preserve">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</w:t>
            </w:r>
            <w:proofErr w:type="gramStart"/>
            <w:r w:rsidR="00285AED" w:rsidRPr="00436407">
              <w:t>контроля за</w:t>
            </w:r>
            <w:proofErr w:type="gramEnd"/>
            <w:r w:rsidR="00285AED" w:rsidRPr="00436407">
              <w:t xml:space="preserve"> осуществлением перевозок пассажиров и багажа легковым такси".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3062" w:tooltip="Подпрограмма VIII &quot;Безопасность дорожного движения&quot;" w:history="1">
              <w:r w:rsidR="00285AED" w:rsidRPr="00436407">
                <w:t>Подпрограмма VIII</w:t>
              </w:r>
            </w:hyperlink>
            <w:r w:rsidR="00285AED" w:rsidRPr="00436407">
              <w:t xml:space="preserve"> "Безопасность дорожного движения".</w:t>
            </w:r>
          </w:p>
          <w:p w:rsidR="00285AED" w:rsidRPr="00436407" w:rsidRDefault="00A9691F" w:rsidP="003A6505">
            <w:pPr>
              <w:pStyle w:val="ConsPlusNormal"/>
              <w:jc w:val="both"/>
            </w:pPr>
            <w:hyperlink w:anchor="Par3308" w:tooltip="Подпрограмма IX &quot;Перевод автотранспорта на использование газомоторного топлива&quot;" w:history="1">
              <w:r w:rsidR="00285AED" w:rsidRPr="00436407">
                <w:t>Подпрограмма IX</w:t>
              </w:r>
            </w:hyperlink>
            <w:r w:rsidR="00285AED" w:rsidRPr="00436407">
              <w:t xml:space="preserve"> "Перевод автотранспорта на использование газомоторного топлива"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7088" w:type="dxa"/>
          </w:tcPr>
          <w:p w:rsidR="00285AED" w:rsidRPr="00436407" w:rsidRDefault="00285AED" w:rsidP="00285AED">
            <w:pPr>
              <w:pStyle w:val="ConsPlusNormal"/>
              <w:jc w:val="both"/>
            </w:pPr>
            <w:r w:rsidRPr="00436407">
              <w:t>Портфель проектов "Безопасные и качественные автомобильные дороги" 63 980 700,2 тыс. рублей, в том числе:</w:t>
            </w:r>
          </w:p>
          <w:p w:rsidR="00285AED" w:rsidRPr="00436407" w:rsidRDefault="00285AED" w:rsidP="00285AED">
            <w:pPr>
              <w:pStyle w:val="ConsPlusNormal"/>
              <w:jc w:val="both"/>
            </w:pPr>
            <w:r w:rsidRPr="00436407">
              <w:t>региональный проект «Дорожная сеть» - 63 077 004,8 тыс. рублей;</w:t>
            </w:r>
          </w:p>
          <w:p w:rsidR="00285AED" w:rsidRPr="00436407" w:rsidRDefault="00285AED" w:rsidP="00285AED">
            <w:pPr>
              <w:pStyle w:val="ConsPlusNormal"/>
              <w:jc w:val="both"/>
            </w:pPr>
            <w:r w:rsidRPr="00436407">
              <w:t>Региональный проект «Общесистемные меры развития дорожного хоз</w:t>
            </w:r>
            <w:r w:rsidR="00714DE8" w:rsidRPr="00436407">
              <w:t>яйства» - 903 695,4 тыс. рублей.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714DE8" w:rsidP="003A6505">
            <w:pPr>
              <w:pStyle w:val="ConsPlusNormal"/>
            </w:pPr>
            <w:r w:rsidRPr="00436407">
              <w:t>Целевые показатели государственной программы</w:t>
            </w:r>
          </w:p>
        </w:tc>
        <w:tc>
          <w:tcPr>
            <w:tcW w:w="7088" w:type="dxa"/>
          </w:tcPr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1. Увеличение объема пассажирских перевозок автомобильным, воздушным, водным транспортом в межмуниципальном и пригородном сообщении и железнодорожным транспортом в пригородном сообщении с 1389 до 1401 тыс. чел.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2. Увеличение протяженности сети автомобильных дорог общего пользования регионального или межмуниципального значения до 2778,30 км.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3. Увеличение доли автомобильных дорог регионального и межмуниципального значения, соответствующих нормативным требованиям, с 84,50% до 89,14%.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lastRenderedPageBreak/>
              <w:t>4. Снижение доли автомобильных дорог регионального и межмуниципального значения, работающих в режиме перегрузки, с 13,38% до 1,3 %.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5. Снижение количества мест концентрации дорожно-транспортных происшествий (аварийно-опасных участков) на дорожной сети со 100% до 50%.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 xml:space="preserve">6. Увеличение доли дорожной сети городских агломераций, находящейся в нормативном состоянии, с 73,5% до 88,2%. 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7. Снижение количества погибших в дорожно-транспортных происшествиях с 13,3 до 4 человек на 100 тыс. населения.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8. Увеличение плотности сети автомобильных дорог общего пользования (кроме дорог федерального значения), отвечающих нормативным требованиям к транспортно-эксплуатационным показателям, с 10,92 до 11,28 км/1000 кв. км.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9. Увеличение количества зарегистрированной поднадзорной техники с 84407 до 84600 ед.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10. Прирост высокопроизводительных рабочих мест (тыс. единиц/процент к предыдущему году) на 9%.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 xml:space="preserve">11. Рост индекса производительности труда в базовых </w:t>
            </w:r>
            <w:proofErr w:type="spellStart"/>
            <w:r w:rsidRPr="00436407">
              <w:t>несырьевых</w:t>
            </w:r>
            <w:proofErr w:type="spellEnd"/>
            <w:r w:rsidRPr="00436407">
              <w:t xml:space="preserve"> отраслях с 99,0 до 125,2.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 xml:space="preserve">12. Увеличение реальной среднемесячной заработной платы работников (за исключением бюджетных организаций) по виду экономической деятельности: </w:t>
            </w:r>
            <w:proofErr w:type="gramStart"/>
            <w:r w:rsidRPr="00436407">
              <w:t>Транспортировка и хранение) с 99,4% до 106,6%.</w:t>
            </w:r>
            <w:proofErr w:type="gramEnd"/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13. Увеличение доли соответствующих нормативным требованиям автомобильных дорог регионального значения и автомобильных дорог в городских агломерациях с учетом загруженности с 71,3% до 77,21%.</w:t>
            </w:r>
          </w:p>
          <w:p w:rsidR="00285AED" w:rsidRPr="00436407" w:rsidRDefault="00714DE8" w:rsidP="00714DE8">
            <w:pPr>
              <w:pStyle w:val="ConsPlusNormal"/>
              <w:jc w:val="both"/>
            </w:pPr>
            <w:r w:rsidRPr="00436407">
              <w:t>14. Увеличение количества автомобилей и техники, использующей природный газ в качестве моторного топлива, зарегистрированных на территории Ханты-Мансийского автономного округа – Югры, с 730 ед. до 1500 ед.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285AED" w:rsidP="003A6505">
            <w:pPr>
              <w:pStyle w:val="ConsPlusNormal"/>
            </w:pPr>
            <w:r w:rsidRPr="00436407">
              <w:lastRenderedPageBreak/>
              <w:t>Сроки реализации государственной программы</w:t>
            </w:r>
          </w:p>
        </w:tc>
        <w:tc>
          <w:tcPr>
            <w:tcW w:w="7088" w:type="dxa"/>
          </w:tcPr>
          <w:p w:rsidR="00285AED" w:rsidRPr="00436407" w:rsidRDefault="00285AED" w:rsidP="003A6505">
            <w:pPr>
              <w:pStyle w:val="ConsPlusNormal"/>
              <w:jc w:val="both"/>
            </w:pPr>
            <w:r w:rsidRPr="00436407">
              <w:t>2019 - 2025 годы и на период до 2030 года</w:t>
            </w:r>
          </w:p>
        </w:tc>
      </w:tr>
      <w:tr w:rsidR="00436407" w:rsidRPr="00436407" w:rsidTr="00436407">
        <w:tc>
          <w:tcPr>
            <w:tcW w:w="2268" w:type="dxa"/>
          </w:tcPr>
          <w:p w:rsidR="00285AED" w:rsidRPr="00436407" w:rsidRDefault="00714DE8" w:rsidP="003A6505">
            <w:pPr>
              <w:pStyle w:val="ConsPlusNormal"/>
            </w:pPr>
            <w:r w:rsidRPr="00436407">
              <w:t>Параметры финансового обеспечения государственной программы</w:t>
            </w:r>
          </w:p>
        </w:tc>
        <w:tc>
          <w:tcPr>
            <w:tcW w:w="7088" w:type="dxa"/>
          </w:tcPr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общий объем финансирования государственной программы в 2019 - 2030 годах составит 236 933 230,5 тыс. рублей, в том числе: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2019 год – 22 911 038,7 тыс. рублей;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2020 год – 18 856 449,6 тыс. рублей;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2021 год – 23 027 238,9 тыс. рублей;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2022 год – 26 912 044,6 тыс. рублей;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2023 год – 28 518 524,0 тыс. рублей;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2024 год – 24 853 441,9 тыс. рублей;</w:t>
            </w:r>
          </w:p>
          <w:p w:rsidR="00714DE8" w:rsidRPr="00436407" w:rsidRDefault="00714DE8" w:rsidP="00714DE8">
            <w:pPr>
              <w:pStyle w:val="ConsPlusNormal"/>
              <w:jc w:val="both"/>
            </w:pPr>
            <w:r w:rsidRPr="00436407">
              <w:t>2025 год – 17 213 926,1 тыс. рублей;</w:t>
            </w:r>
          </w:p>
          <w:p w:rsidR="00285AED" w:rsidRPr="00436407" w:rsidRDefault="00714DE8" w:rsidP="00714DE8">
            <w:pPr>
              <w:pStyle w:val="ConsPlusNormal"/>
              <w:jc w:val="both"/>
            </w:pPr>
            <w:r w:rsidRPr="00436407">
              <w:t>2026 - 2030 годы – 74 640 566,7 тыс. рублей.</w:t>
            </w:r>
          </w:p>
        </w:tc>
      </w:tr>
    </w:tbl>
    <w:p w:rsidR="00DB409A" w:rsidRDefault="00DB409A" w:rsidP="00436407"/>
    <w:sectPr w:rsidR="00DB409A" w:rsidSect="00A9691F">
      <w:headerReference w:type="default" r:id="rId7"/>
      <w:pgSz w:w="11906" w:h="16838"/>
      <w:pgMar w:top="1134" w:right="850" w:bottom="1134" w:left="1701" w:header="708" w:footer="708" w:gutter="0"/>
      <w:pgNumType w:start="29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91F" w:rsidRDefault="00A9691F" w:rsidP="00A9691F">
      <w:pPr>
        <w:spacing w:after="0" w:line="240" w:lineRule="auto"/>
      </w:pPr>
      <w:r>
        <w:separator/>
      </w:r>
    </w:p>
  </w:endnote>
  <w:endnote w:type="continuationSeparator" w:id="0">
    <w:p w:rsidR="00A9691F" w:rsidRDefault="00A9691F" w:rsidP="00A9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91F" w:rsidRDefault="00A9691F" w:rsidP="00A9691F">
      <w:pPr>
        <w:spacing w:after="0" w:line="240" w:lineRule="auto"/>
      </w:pPr>
      <w:r>
        <w:separator/>
      </w:r>
    </w:p>
  </w:footnote>
  <w:footnote w:type="continuationSeparator" w:id="0">
    <w:p w:rsidR="00A9691F" w:rsidRDefault="00A9691F" w:rsidP="00A9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78151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9691F" w:rsidRPr="00A9691F" w:rsidRDefault="00A9691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969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969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969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2907</w:t>
        </w:r>
        <w:r w:rsidRPr="00A969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9691F" w:rsidRDefault="00A969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ED"/>
    <w:rsid w:val="00285AED"/>
    <w:rsid w:val="00436407"/>
    <w:rsid w:val="00714DE8"/>
    <w:rsid w:val="00A9691F"/>
    <w:rsid w:val="00DB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A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85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96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91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96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691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A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A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85A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96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9691F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969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9691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 Ярослав Владимирович</dc:creator>
  <cp:keywords/>
  <dc:description/>
  <cp:lastModifiedBy>Шубная  Юлия  Петровна</cp:lastModifiedBy>
  <cp:revision>5</cp:revision>
  <dcterms:created xsi:type="dcterms:W3CDTF">2019-10-15T14:40:00Z</dcterms:created>
  <dcterms:modified xsi:type="dcterms:W3CDTF">2019-10-21T06:00:00Z</dcterms:modified>
</cp:coreProperties>
</file>